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Default Extension="png" ContentType="image/png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comments.xml" ContentType="application/vnd.openxmlformats-officedocument.wordprocessingml.comments+xml"/>
</Types>
</file>

<file path=_rels/.rels><?xml version="1.0" encoding="UTF-8" standalone="yes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>
      <w:pPr>
        <w:pStyle w:val="Heading1"/>
      </w:pPr>
      <w:bookmarkStart w:id="0" w:name="_Toc0"/>
      <w:r>
        <w:t>По следам Гепарда - 4*</w:t>
      </w:r>
      <w:bookmarkEnd w:id="0"/>
    </w:p>
    <w:p/>
    <w:p>
      <w:pPr>
        <w:pStyle w:val="pStyle"/>
      </w:pPr>
      <w:r>
        <w:rPr>
          <w:b w:val="1"/>
          <w:bCs w:val="1"/>
        </w:rPr>
        <w:t xml:space="preserve">Даты тура: </w:t>
      </w:r>
      <w:r>
        <w:rPr/>
        <w:t xml:space="preserve">до 15.12.2026</w:t>
      </w:r>
    </w:p>
    <w:p>
      <w:pPr>
        <w:pStyle w:val="pStyle"/>
      </w:pPr>
      <w:r>
        <w:rPr>
          <w:b w:val="1"/>
          <w:bCs w:val="1"/>
        </w:rPr>
        <w:t xml:space="preserve">Страна: </w:t>
      </w:r>
      <w:r>
        <w:rPr/>
        <w:t xml:space="preserve">Кения</w:t>
      </w:r>
    </w:p>
    <w:p>
      <w:pPr>
        <w:pStyle w:val="pStyle"/>
      </w:pPr>
      <w:r>
        <w:rPr>
          <w:b w:val="1"/>
          <w:bCs w:val="1"/>
        </w:rPr>
        <w:t xml:space="preserve">Маршрут: </w:t>
      </w:r>
      <w:r>
        <w:rPr/>
        <w:t xml:space="preserve">Амбосели – Озеро Найваша – Масаи Мара</w:t>
      </w:r>
    </w:p>
    <w:p>
      <w:pPr>
        <w:pStyle w:val="pStyle"/>
      </w:pPr>
      <w:r>
        <w:rPr>
          <w:b w:val="1"/>
          <w:bCs w:val="1"/>
        </w:rPr>
        <w:t xml:space="preserve">Стоимость тура: </w:t>
      </w:r>
      <w:r>
        <w:rPr/>
        <w:t xml:space="preserve">от 2530 $</w:t>
      </w:r>
    </w:p>
    <w:p/>
    <w:p>
      <w:pPr>
        <w:jc w:val="center"/>
      </w:pPr>
      <w:r>
        <w:pict>
          <v:shape type="#_x0000_t75" stroked="f" style="width:450pt; height:266.66666666667pt; margin-left:0pt; margin-top:0pt; mso-position-horizontal:left; mso-position-vertical:top; mso-position-horizontal-relative:char; mso-position-vertical-relative:line;">
            <w10:wrap type="inline"/>
            <v:imagedata r:id="rId7" o:title=""/>
          </v:shape>
        </w:pict>
      </w:r>
    </w:p>
    <w:p/>
    <w:p>
      <w:pPr>
        <w:pStyle w:val="Heading2"/>
      </w:pPr>
      <w:bookmarkStart w:id="1" w:name="_Toc1"/>
      <w:r>
        <w:t>Описание тура</w:t>
      </w:r>
      <w:bookmarkEnd w:id="1"/>
    </w:p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1: Прилет в Найроби. Переезд в Амбосели.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Прибытие в Найроби, встреча в аэропорту с нашим представителем.</w:t>
            </w:r>
          </w:p>
          <w:p>
            <w:pPr>
              <w:spacing w:after="100"/>
            </w:pPr>
            <w:r>
              <w:rPr/>
              <w:t xml:space="preserve">Переезд на юг страны через живописные масайские земли в национальный парк Амбосели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Величественная гора Килиманджаро возвышается над этой местностью, скрываясь высоко за облаками.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26.87010954617pt; margin-left:0pt; margin-top:113.38582677165pt; mso-position-horizontal:left; mso-position-vertical:top; mso-position-horizontal-relative:char; mso-position-vertical-relative:line;">
                  <w10:wrap type="inline"/>
                  <v:imagedata r:id="rId8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лодже. Обед. Вечернее сафари.</w:t>
            </w:r>
          </w:p>
          <w:p>
            <w:pPr>
              <w:spacing w:after="100"/>
            </w:pPr>
            <w:r>
              <w:rPr/>
              <w:t xml:space="preserve">Насладитесь богатством живой природы и красотой кенийских пейзажей на фоне Вершины Африки.</w:t>
            </w:r>
          </w:p>
          <w:p>
            <w:pPr>
              <w:spacing w:after="100"/>
            </w:pPr>
            <w:r>
              <w:rPr/>
              <w:t xml:space="preserve">Вулкан Килиманджаро высотой 5895 метров – самая высокая точка африканского континента.</w:t>
            </w:r>
          </w:p>
          <w:p>
            <w:pPr>
              <w:spacing w:after="100"/>
            </w:pPr>
            <w:r>
              <w:rPr/>
              <w:t xml:space="preserve">Удивительный факт: хотя Килиманджаро располагается на территории Танзании, лучший вид на него открывается из Кении, а именно из парка Амбосели, который также знаменит огромной популяцией слонов и других диких животных. И именно здесь сделаны все знаменитые фотографии слонов и жирафов на фоне Килиманджаро, которыми так пестрит интернет.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Amboseli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2: Сафари в Амбосели.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Удивительная поездка по утреннему парку и возращение в лодж на завтрак. Вы можете отдохнуть возле бассейна или побродить по окрестностям. Обед. Выезд на вечернее сафари.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9" o:title=""/>
                </v:shape>
              </w:pic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Amboseli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3: Переезд на озеро Найваша. Прогулка на лодке по озеру.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 Переезд на озеро Найваша (около 5 часов; указанное время является ориентировочным и в зависимости от интенсивности транспортного движения и состояния дороги может быть увеличено).</w:t>
            </w:r>
          </w:p>
          <w:p>
            <w:pPr>
              <w:spacing w:after="100"/>
            </w:pPr>
            <w:r>
              <w:rPr/>
              <w:t xml:space="preserve">Найваша – одно из крупнейших пресноводных озер Рифтовой долины, излюбленное место отдыха жителей Найроби и место притяжения туристов со всего мира, дом для значительной популяции бегемотов и рай для любителей птиц (здесь гнездится более 200 видов пернатых).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33333333333pt; margin-left:0pt; margin-top:113.38582677165pt; mso-position-horizontal:left; mso-position-vertical:top; mso-position-horizontal-relative:char; mso-position-vertical-relative:line;">
                  <w10:wrap type="inline"/>
                  <v:imagedata r:id="rId10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Размещение в лодже, расположенном на берегу, на территории которого свободно гуляют зебры, жирафы, водные козлы и антилопы.</w:t>
            </w:r>
          </w:p>
          <w:p>
            <w:pPr>
              <w:spacing w:after="100"/>
            </w:pPr>
            <w:r>
              <w:rPr/>
              <w:t xml:space="preserve">Обед. Во второй половине дня Вас ожидает знакомство с природой и удивительными обитателями национального парка.</w:t>
            </w:r>
          </w:p>
          <w:p>
            <w:pPr>
              <w:spacing w:after="100"/>
            </w:pPr>
            <w:r>
              <w:rPr/>
              <w:t xml:space="preserve">Вы совершите прогулку по озеру на моторной лодке, в течение которой подойдете достаточно близко к одной из семей бегемотов, проводящих дневное время в воде; понаблюдаете за птицами, гнездящимися на берегах; увидите жирафов, антилоп, зебр и других африканских животных, приходящих к озеру на водопой.</w:t>
            </w:r>
          </w:p>
          <w:p>
            <w:pPr>
              <w:spacing w:after="100"/>
            </w:pPr>
            <w:r>
              <w:rPr/>
              <w:t xml:space="preserve">Возвращение в лодж. Ужин.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Lake Naivasha Sopa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4: Переезд в Масаи Мара. Вечернее сафари.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Завтрак. Переезд во всемирно известный заповедник Масаи Мара (около 5 часов / указанное время является ориентировочным, в зависимости от транспортного движения и состояния дороги время в пути может быть увеличено), расположенный в северной части долины Серенгети.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1.49788722133pt; margin-left:0pt; margin-top:113.38582677165pt; mso-position-horizontal:left; mso-position-vertical:top; mso-position-horizontal-relative:char; mso-position-vertical-relative:line;">
                  <w10:wrap type="inline"/>
                  <v:imagedata r:id="rId11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Этот парк по праву может гордиться самой многочисленной в мире популяцией львов.</w:t>
            </w:r>
          </w:p>
          <w:p>
            <w:pPr>
              <w:spacing w:after="100"/>
            </w:pPr>
            <w:r>
              <w:rPr/>
              <w:t xml:space="preserve">Размещение в лодже. Обед. Сафари в долине Мара или вниз по реке Мара.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5: Сафари в Масаи Мара.</w:t>
      </w:r>
    </w:p>
    <w:tbl>
      <w:tblGrid>
        <w:gridCol w:w="5442.5196850393704153248108923435211181640625" w:type="dxa"/>
        <w:gridCol w:w="3628.346456692913307051640003919601440429687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5442.5196850393704153248108923435211181640625" w:type="dxa"/>
            <w:vAlign w:val="top"/>
            <w:noWrap/>
          </w:tcPr>
          <w:p>
            <w:pPr>
              <w:spacing w:after="100"/>
            </w:pPr>
            <w:r>
              <w:rPr/>
              <w:t xml:space="preserve">Ранний подъем. Легкие закуски (обычно это печенье или бисквит) + чай/кофе в лобби лоджа.</w:t>
            </w:r>
          </w:p>
          <w:p>
            <w:pPr>
              <w:spacing w:after="100"/>
            </w:pPr>
            <w:r>
              <w:rPr/>
              <w:t xml:space="preserve">Выезд на утреннее сафари (как известно, именно ранним утром дикие животные проявляют наибольшую активность).</w:t>
            </w:r>
          </w:p>
        </w:tc>
        <w:tc>
          <w:tcPr>
            <w:tcW w:w="3628.3464566929133070516400039196014404296875" w:type="dxa"/>
            <w:vAlign w:val="top"/>
            <w:noWrap/>
          </w:tcPr>
          <w:p>
            <w:pPr/>
            <w:r>
              <w:pict>
                <v:shape type="#_x0000_t75" stroked="f" style="width:242pt; height:169.4pt; margin-left:0pt; margin-top:113.38582677165pt; mso-position-horizontal:left; mso-position-vertical:top; mso-position-horizontal-relative:char; mso-position-vertical-relative:line;">
                  <w10:wrap type="inline"/>
                  <v:imagedata r:id="rId12" o:title=""/>
                </v:shape>
              </w:pict>
            </w:r>
          </w:p>
        </w:tc>
      </w:tr>
    </w:tbl>
    <w:p/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Возвращение в лодж, где Вас будет ожидать вкусный завтрак.</w:t>
            </w:r>
          </w:p>
          <w:p>
            <w:pPr>
              <w:spacing w:after="100"/>
            </w:pPr>
            <w:r>
              <w:rPr/>
              <w:t xml:space="preserve">Свободное время для отдыха. Обед в лодже.</w:t>
            </w:r>
          </w:p>
          <w:p>
            <w:pPr>
              <w:spacing w:after="100"/>
            </w:pPr>
            <w:r>
              <w:rPr/>
              <w:t xml:space="preserve">Вечернее сафари, во время которого Вы наверняка почувствуете себя в эпицентре одного из многочисленных фильмов National Geographic, ведь этот парк является любимым местом исследователей всего мира по изучению африканской флоры и фауны!</w:t>
            </w:r>
          </w:p>
          <w:p>
            <w:pPr>
              <w:spacing w:after="100"/>
            </w:pPr>
            <w:r>
              <w:rPr/>
              <w:t xml:space="preserve">Возвращение в лодж к ужину.</w:t>
            </w:r>
          </w:p>
        </w:tc>
      </w:tr>
    </w:tbl>
    <w:p>
      <w:pPr>
        <w:spacing w:before="160"/>
      </w:pPr>
      <w:r>
        <w:rPr>
          <w:b w:val="1"/>
          <w:bCs w:val="1"/>
        </w:rPr>
        <w:t xml:space="preserve">Проживание: </w:t>
      </w:r>
      <w:r>
        <w:rPr/>
        <w:t xml:space="preserve">Mara Serena Lodge</w:t>
      </w:r>
    </w:p>
    <w:p>
      <w:pPr/>
      <w:r>
        <w:rPr>
          <w:b w:val="1"/>
          <w:bCs w:val="1"/>
        </w:rPr>
        <w:t xml:space="preserve">Питание: </w:t>
      </w:r>
      <w:r>
        <w:rPr/>
        <w:t xml:space="preserve">Полный пансион</w:t>
      </w:r>
    </w:p>
    <w:p/>
    <w:p>
      <w:pPr>
        <w:spacing w:after="100"/>
      </w:pPr>
      <w:r>
        <w:rPr>
          <w:sz w:val="24"/>
          <w:szCs w:val="24"/>
          <w:b w:val="1"/>
          <w:bCs w:val="1"/>
        </w:rPr>
        <w:t xml:space="preserve">День 6: Возвращение в Найроби. Трансфер в аэропорт.</w:t>
      </w:r>
    </w:p>
    <w:tbl>
      <w:tblGrid>
        <w:gridCol w:w="9070.866141732281903387047350406646728515625" w:type="dxa"/>
      </w:tblGrid>
      <w:tblPr>
        <w:jc w:val="left"/>
        <w:tblW w:w="0" w:type="auto"/>
        <w:tblLayout w:type="autofit"/>
        <w:tblCellMar>
          <w:top w:w="120" w:type="dxa"/>
          <w:left w:w="120" w:type="dxa"/>
          <w:right w:w="120" w:type="dxa"/>
          <w:bottom w:w="120" w:type="dxa"/>
        </w:tblCellMar>
      </w:tblPr>
      <w:tr>
        <w:trPr/>
        <w:tc>
          <w:tcPr>
            <w:tcW w:w="9070.866141732281903387047350406646728515625" w:type="dxa"/>
            <w:noWrap/>
          </w:tcPr>
          <w:p>
            <w:pPr>
              <w:spacing w:after="100"/>
            </w:pPr>
            <w:r>
              <w:rPr/>
              <w:t xml:space="preserve">Завтрак.</w:t>
            </w:r>
          </w:p>
          <w:p>
            <w:pPr>
              <w:spacing w:after="100"/>
            </w:pPr>
            <w:r>
              <w:rPr/>
              <w:t xml:space="preserve">Переезд в Найроби (около 5 часов / указанное время является ориентировочным, в зависимости от транспортного движения и состояния дороги время в пути может быть увеличено).</w:t>
            </w:r>
          </w:p>
          <w:p>
            <w:pPr>
              <w:spacing w:after="100"/>
            </w:pPr>
            <w:r>
              <w:rPr/>
              <w:t xml:space="preserve">Трансфер в аэропорт для вылета.</w:t>
            </w:r>
          </w:p>
        </w:tc>
      </w:tr>
    </w:tbl>
    <w:p/>
    <w:p>
      <w:pPr>
        <w:pStyle w:val="Heading2"/>
      </w:pPr>
      <w:bookmarkStart w:id="2" w:name="_Toc2"/>
      <w:r>
        <w:t>Цены тура «По следам Гепарда - 4*»</w:t>
      </w:r>
      <w:bookmarkEnd w:id="2"/>
    </w:p>
    <w:p>
      <w:pPr/>
      <w:r>
        <w:rPr>
          <w:b w:val="1"/>
          <w:bCs w:val="1"/>
        </w:rPr>
        <w:t xml:space="preserve">Стоимость тура за одного человека</w:t>
      </w:r>
    </w:p>
    <w:p/>
    <w:tbl>
      <w:tblGrid>
        <w:gridCol w:w="5102.3622047244089117157272994518280029296875" w:type="dxa"/>
        <w:gridCol w:w="1984.2519685039369505830109119415283203125" w:type="dxa"/>
        <w:gridCol w:w="1984.2519685039369505830109119415283203125" w:type="dxa"/>
      </w:tblGrid>
      <w:tblPr>
        <w:tblStyle w:val="PriceTable"/>
      </w:tblPr>
      <w:tr>
        <w:trPr/>
        <w:tc>
          <w:tcPr>
            <w:tcW w:w="9070.866141732281903387047350406646728515625" w:type="dxa"/>
            <w:vAlign w:val="center"/>
            <w:shd w:val="clear" w:fill="F2F2F2"/>
            <w:gridSpan w:val="3"/>
            <w:noWrap/>
          </w:tcPr>
          <w:p>
            <w:pPr/>
            <w:r>
              <w:rPr>
                <w:b w:val="1"/>
                <w:bCs w:val="1"/>
              </w:rPr>
              <w:t xml:space="preserve">Период:</w:t>
            </w:r>
          </w:p>
        </w:tc>
      </w:tr>
      <w:tr>
        <w:trPr/>
        <w:tc>
          <w:tcPr>
            <w:tcW w:w="5102.3622047244089117157272994518280029296875" w:type="dxa"/>
            <w:noWrap/>
          </w:tcPr>
          <w:p>
            <w:pPr/>
            <w:r>
              <w:rPr>
                <w:b w:val="1"/>
                <w:bCs w:val="1"/>
              </w:rPr>
              <w:t xml:space="preserve">Наименование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SNGL</w:t>
            </w:r>
          </w:p>
        </w:tc>
        <w:tc>
          <w:tcPr>
            <w:tcW w:w="1984.2519685039369505830109119415283203125" w:type="dxa"/>
            <w:noWrap/>
          </w:tcPr>
          <w:p>
            <w:pPr>
              <w:pStyle w:val="pCenter"/>
            </w:pPr>
            <w:r>
              <w:rPr>
                <w:b w:val="1"/>
                <w:bCs w:val="1"/>
              </w:rPr>
              <w:t xml:space="preserve">DBL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02.01 - 31.03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3 350 $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2 740 $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01.04 - 31.05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2 980 $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2 530 $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01.06 - 20.06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4 160 $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3 340 $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21.06 - 31.08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4 840 $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3 990 $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01.09 - 30.09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4 680 $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3 830 $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01.10 - 31.10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3 910 $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3 140 $</w:t>
            </w:r>
          </w:p>
        </w:tc>
      </w:tr>
      <w:tr>
        <w:trPr/>
        <w:tc>
          <w:tcPr>
            <w:vAlign w:val="center"/>
            <w:noWrap/>
          </w:tcPr>
          <w:p>
            <w:pPr/>
            <w:r>
              <w:rPr/>
              <w:t xml:space="preserve">01.11 - 15.12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3 620 $</w:t>
            </w:r>
          </w:p>
        </w:tc>
        <w:tc>
          <w:tcPr>
            <w:vAlign w:val="center"/>
            <w:noWrap/>
          </w:tcPr>
          <w:p>
            <w:pPr>
              <w:pStyle w:val="pRight"/>
            </w:pPr>
            <w:r>
              <w:rPr/>
              <w:t xml:space="preserve">3 030 $</w:t>
            </w:r>
          </w:p>
        </w:tc>
      </w:tr>
    </w:tbl>
    <w:p>
      <w:pPr>
        <w:pStyle w:val="Heading3"/>
      </w:pPr>
      <w:bookmarkStart w:id="3" w:name="_Toc3"/>
      <w:r>
        <w:t>В стоимость тура включено:</w:t>
      </w:r>
      <w:bookmarkEnd w:id="3"/>
    </w:p>
    <w:p>
      <w:pPr>
        <w:pStyle w:val="listTight"/>
        <w:numPr>
          <w:ilvl w:val="0"/>
          <w:numId w:val="10"/>
        </w:numPr>
      </w:pPr>
      <w:r>
        <w:rPr/>
        <w:t xml:space="preserve">Проживание и питание по программе    </w:t>
      </w:r>
    </w:p>
    <w:p>
      <w:pPr>
        <w:pStyle w:val="listTight"/>
        <w:numPr>
          <w:ilvl w:val="0"/>
          <w:numId w:val="10"/>
        </w:numPr>
      </w:pPr>
      <w:r>
        <w:rPr/>
        <w:t xml:space="preserve">Транспортное и экскурсионное обслуживание по программе с англоговорящим гидом </w:t>
      </w:r>
    </w:p>
    <w:p>
      <w:pPr>
        <w:pStyle w:val="Heading3"/>
      </w:pPr>
      <w:bookmarkStart w:id="4" w:name="_Toc4"/>
      <w:r>
        <w:t>Оплачивается дополнительно:</w:t>
      </w:r>
      <w:bookmarkEnd w:id="4"/>
    </w:p>
    <w:p>
      <w:pPr>
        <w:pStyle w:val="listTight"/>
        <w:numPr>
          <w:ilvl w:val="0"/>
          <w:numId w:val="10"/>
        </w:numPr>
      </w:pPr>
      <w:r>
        <w:rPr/>
        <w:t xml:space="preserve">Чаевые и расходы личного характера</w:t>
      </w:r>
    </w:p>
    <w:p>
      <w:pPr>
        <w:pStyle w:val="listTight"/>
        <w:numPr>
          <w:ilvl w:val="0"/>
          <w:numId w:val="10"/>
        </w:numPr>
      </w:pPr>
      <w:r>
        <w:rPr/>
        <w:t xml:space="preserve">Международный перелет </w:t>
      </w:r>
    </w:p>
    <w:p>
      <w:pPr>
        <w:pStyle w:val="listTight"/>
        <w:numPr>
          <w:ilvl w:val="0"/>
          <w:numId w:val="10"/>
        </w:numPr>
      </w:pPr>
      <w:r>
        <w:rPr/>
        <w:t xml:space="preserve">Визовый сбор</w:t>
      </w:r>
    </w:p>
    <w:p>
      <w:pPr>
        <w:pStyle w:val="listTight"/>
        <w:numPr>
          <w:ilvl w:val="0"/>
          <w:numId w:val="10"/>
        </w:numPr>
      </w:pPr>
      <w:r>
        <w:rPr/>
        <w:t xml:space="preserve">Медицинская страховка    </w:t>
      </w:r>
    </w:p>
    <w:p/>
    <w:p>
      <w:pPr>
        <w:pStyle w:val="pStyle"/>
      </w:pPr>
      <w:r>
        <w:rPr/>
        <w:t xml:space="preserve">Телефон для заказа: +7(925) 514-83-53</w:t>
      </w:r>
    </w:p>
    <w:p>
      <w:pPr>
        <w:pStyle w:val="pStyle"/>
      </w:pPr>
      <w:r>
        <w:rPr/>
        <w:t xml:space="preserve">E-mail: info@wildtrek.ru</w:t>
      </w:r>
    </w:p>
    <w:sectPr>
      <w:pgSz w:orient="portrait" w:w="11905.511811023621703498065471649169921875" w:h="16837.7952755905498634092509746551513671875"/>
      <w:pgMar w:top="1133.858267716535237923380918800830841064453125" w:right="1133.858267716535237923380918800830841064453125" w:bottom="1133.858267716535237923380918800830841064453125" w:left="1133.858267716535237923380918800830841064453125" w:header="720" w:footer="720" w:gutter="0"/>
      <w:cols w:num="1" w:space="720"/>
    </w:sectPr>
  </w:body>
</w:document>
</file>

<file path=word/comments.xml><?xml version="1.0" encoding="utf-8"?>
<w:comment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/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Garamond">
    <w:panose1 w:val="02020404030301010803"/>
    <w:charset w:val="00"/>
    <w:family w:val="roman"/>
    <w:pitch w:val="variable"/>
    <w:sig w:usb0="00000287" w:usb1="00000002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0">
    <w:nsid w:val="7DC07B03"/>
    <w:multiLevelType w:val="hybridMultilevel"/>
    <w:lvl w:ilvl="0">
      <w:start w:val="1"/>
      <w:numFmt w:val="bullet"/>
      <w:suff w:val="tab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Symbol" w:hint="default"/>
      </w:rPr>
    </w:lvl>
    <w:lvl w:ilvl="1">
      <w:start w:val="1"/>
      <w:numFmt w:val="bullet"/>
      <w:suff w:val="tab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tab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suff w:val="tab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Symbol" w:hint="default"/>
      </w:rPr>
    </w:lvl>
    <w:lvl w:ilvl="4">
      <w:start w:val="1"/>
      <w:numFmt w:val="bullet"/>
      <w:suff w:val="tab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suff w:val="tab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suff w:val="tab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cs="Symbol" w:hint="default"/>
      </w:rPr>
    </w:lvl>
    <w:lvl w:ilvl="7">
      <w:start w:val="1"/>
      <w:numFmt w:val="bullet"/>
      <w:suff w:val="tab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suff w:val="tab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cs="Wingdings" w:hint="default"/>
      </w:rPr>
    </w:lvl>
  </w:abstractNum>
  <w:num w:numId="10">
    <w:abstractNumId w:val="10"/>
  </w:num>
</w:numbering>
</file>

<file path=word/settings.xml><?xml version="1.0" encoding="utf-8"?>
<w:settings xmlns:r="http://schemas.openxmlformats.org/officeDocument/2006/relationships" xmlns:w="http://schemas.openxmlformats.org/wordprocessingml/2006/main" xmlns:m="http://schemas.openxmlformats.org/officeDocument/2006/math" xmlns:sl="http://schemas.openxmlformats.org/schemaLibrary/2006/main" xmlns:o="urn:schemas-microsoft-com:office:office" xmlns:v="urn:schemas-microsoft-com:vml" xmlns:w10="urn:schemas-microsoft-com:office:word">
  <w:defaultTabStop w:val="708"/>
  <w:hyphenationZone w:val="425"/>
  <w:characterSpacingControl w:val="doNotCompress"/>
  <w:decimalSymbol w:val="."/>
  <w:listSeparator w:val=";"/>
  <w:compat>
    <w:compatSetting w:name="compatibilityMode" w:uri="http://schemas.microsoft.com/office/word" w:val="12"/>
  </w:compat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clrSchemeMapping w:bg1="light1" w:t1="dark1" w:bg2="light2" w:t2="dark2" w:accent1="accent1" w:accent2="accent2" w:accent3="accent3" w:accent4="accent4" w:accent5="accent5" w:accent6="accent6" w:hyperlink="hyperlink" w:followedHyperlink="followedHyperlink"/>
  <w:hideSpellingErrors w:val="false"/>
  <w:hideGrammaticalErrors w:val="false"/>
  <w:trackRevisions w:val="false"/>
  <w:doNotTrackMoves w:val="false"/>
  <w:doNotTrackFormatting w:val="false"/>
  <w:evenAndOddHeaders w:val="false"/>
  <w:updateFields w:val="false"/>
  <w:bookFoldPrinting w:val="false"/>
  <w:themeFontLang w:val="en-US"/>
  <w:zoom w:percent="100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hAnsi="Times New Roman" w:eastAsia="Arial" w:cs="Times New Roman"/>
        <w:color w:val="000000"/>
        <w:sz w:val="24"/>
        <w:szCs w:val="24"/>
        <w:lang w:val="en-US"/>
      </w:rPr>
    </w:rPrDefault>
  </w:docDefaults>
  <w:style w:type="paragraph" w:default="1" w:styleId="Normal">
    <w:name w:val="Normal"/>
  </w:style>
  <w:style w:type="character" w:styleId="FootnoteReference">
    <w:name w:val="Footnote Reference"/>
    <w:semiHidden/>
    <w:unhideWhenUsed/>
    <w:rPr>
      <w:vertAlign w:val="superscript"/>
    </w:rPr>
  </w:style>
  <w:style w:type="paragraph" w:styleId="Heading1">
    <w:link w:val="Heading1Char"/>
    <w:name w:val="heading 1"/>
    <w:basedOn w:val="Normal"/>
    <w:pPr>
      <w:spacing w:after="360"/>
    </w:pPr>
    <w:rPr>
      <w:sz w:val="44"/>
      <w:szCs w:val="44"/>
      <w:b w:val="1"/>
      <w:bCs w:val="1"/>
    </w:rPr>
  </w:style>
  <w:style w:type="paragraph" w:styleId="Heading2">
    <w:link w:val="Heading2Char"/>
    <w:name w:val="heading 2"/>
    <w:basedOn w:val="Normal"/>
    <w:pPr>
      <w:spacing w:before="400" w:after="280"/>
    </w:pPr>
    <w:rPr>
      <w:sz w:val="32"/>
      <w:szCs w:val="32"/>
      <w:b w:val="1"/>
      <w:bCs w:val="1"/>
    </w:rPr>
  </w:style>
  <w:style w:type="paragraph" w:styleId="Heading3">
    <w:link w:val="Heading3Char"/>
    <w:name w:val="heading 3"/>
    <w:basedOn w:val="Normal"/>
    <w:pPr>
      <w:spacing w:before="320" w:after="200"/>
    </w:pPr>
    <w:rPr>
      <w:sz w:val="28"/>
      <w:szCs w:val="28"/>
      <w:b w:val="1"/>
      <w:bCs w:val="1"/>
    </w:rPr>
  </w:style>
  <w:style w:type="paragraph" w:customStyle="1" w:styleId="pStyle">
    <w:name w:val="pStyle"/>
    <w:basedOn w:val="Normal"/>
    <w:pPr>
      <w:spacing w:after="0" w:line="240" w:lineRule="auto"/>
    </w:pPr>
  </w:style>
  <w:style w:type="paragraph" w:customStyle="1" w:styleId="pCenter">
    <w:name w:val="pCenter"/>
    <w:basedOn w:val="Normal"/>
    <w:pPr>
      <w:jc w:val="center"/>
      <w:spacing w:line="240" w:lineRule="auto"/>
    </w:pPr>
  </w:style>
  <w:style w:type="paragraph" w:customStyle="1" w:styleId="pRight">
    <w:name w:val="pRight"/>
    <w:basedOn w:val="Normal"/>
    <w:pPr>
      <w:jc w:val="end"/>
      <w:spacing w:line="240" w:lineRule="auto"/>
    </w:pPr>
  </w:style>
  <w:style w:type="table" w:customStyle="1" w:styleId="PriceTable">
    <w:name w:val="PriceTable"/>
    <w:uiPriority w:val="99"/>
    <w:tblPr>
      <w:tblW w:w="0" w:type="auto"/>
      <w:tblLayout w:type="autofit"/>
      <w:tblCellMar>
        <w:top w:w="100" w:type="dxa"/>
        <w:left w:w="100" w:type="dxa"/>
        <w:right w:w="100" w:type="dxa"/>
        <w:bottom w:w="100" w:type="dxa"/>
      </w:tblCellMar>
      <w:tblBorders>
        <w:top w:val="single" w:sz="6" w:color="999999"/>
        <w:left w:val="single" w:sz="6" w:color="999999"/>
        <w:right w:val="single" w:sz="6" w:color="999999"/>
        <w:bottom w:val="single" w:sz="6" w:color="999999"/>
        <w:insideH w:val="single" w:sz="6" w:color="999999"/>
        <w:insideV w:val="single" w:sz="6" w:color="999999"/>
      </w:tblBorders>
    </w:tblPr>
  </w:style>
  <w:style w:type="paragraph" w:customStyle="1" w:styleId="pTight">
    <w:name w:val="pTight"/>
    <w:basedOn w:val="Normal"/>
    <w:pPr>
      <w:spacing w:before="0" w:after="0" w:line="240" w:lineRule="auto"/>
    </w:pPr>
  </w:style>
  <w:style w:type="paragraph" w:customStyle="1" w:styleId="listTight">
    <w:name w:val="listTight"/>
    <w:basedOn w:val="Normal"/>
    <w:pPr>
      <w:ind w:left="283.46456692913380948084522970020771026611328125" w:right="0" w:firstLine="0" w:hanging="0"/>
      <w:spacing w:before="0" w:after="0" w:line="240" w:lineRule="auto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numbering" Target="numbering.xml"/><Relationship Id="rId3" Type="http://schemas.openxmlformats.org/officeDocument/2006/relationships/settings" Target="settings.xml"/><Relationship Id="rId4" Type="http://schemas.openxmlformats.org/officeDocument/2006/relationships/theme" Target="theme/theme1.xml"/><Relationship Id="rId5" Type="http://schemas.openxmlformats.org/officeDocument/2006/relationships/webSettings" Target="webSettings.xml"/><Relationship Id="rId6" Type="http://schemas.openxmlformats.org/officeDocument/2006/relationships/fontTable" Target="fontTable.xml"/><Relationship Id="rId7" Type="http://schemas.openxmlformats.org/officeDocument/2006/relationships/image" Target="media/section_image1.jpg"/><Relationship Id="rId8" Type="http://schemas.openxmlformats.org/officeDocument/2006/relationships/image" Target="media/section_image2.png"/><Relationship Id="rId9" Type="http://schemas.openxmlformats.org/officeDocument/2006/relationships/image" Target="media/section_image3.jpg"/><Relationship Id="rId10" Type="http://schemas.openxmlformats.org/officeDocument/2006/relationships/image" Target="media/section_image4.jpg"/><Relationship Id="rId11" Type="http://schemas.openxmlformats.org/officeDocument/2006/relationships/image" Target="media/section_image5.jpg"/><Relationship Id="rId12" Type="http://schemas.openxmlformats.org/officeDocument/2006/relationships/image" Target="media/section_image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PHPWord</Application>
  <Company/>
  <Manager/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/>
  <dc:title/>
  <dc:description/>
  <dc:subject/>
  <cp:keywords/>
  <cp:category/>
  <cp:lastModifiedBy/>
  <dcterms:created xsi:type="dcterms:W3CDTF">2026-06-14T11:07:47+03:00</dcterms:created>
  <dcterms:modified xsi:type="dcterms:W3CDTF">2026-06-14T11:07:47+03:00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/>
</file>