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Южной Африке 2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30.12.2021 - 08.01.2022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Сан Сити - сафари в заповеднике Пиланесберг - Йоханнесбург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2448 $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 в Кейптаун в 11.15 (QR 1369). Встреча в аэропорту с русскоговорящим гидом.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Westin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Кейптауну и подъем на Столовую гору в сопровождении русскоговорящего гида.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Новогодний ужин в одном из ресторанов города или в ресторане отеля (включен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Westin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с африканскими пингвинами и круиз на остров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 Надежды, посещение пляжа с африканскими пингвинами и круиз на остров морских котиков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Бей, насладитесь видами белоснежных пляжей Кемпс Бей. По приезду в поселок Вы пересядете на туристический кораблик, чтобы отправиться в круиз в гости к 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Мысу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Westin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Винные Долины.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Винные Долины в сопровождении русскоговорящего гида. </w:t>
            </w:r>
          </w:p>
          <w:p>
            <w:pPr>
              <w:spacing w:after="100"/>
            </w:pPr>
            <w:r>
              <w:rPr/>
              <w:t xml:space="preserve">Посещение винных поместий Hazendal и Spier, экскурсия в винные погреба и дегустация южноафриканских вин. Остановка на обед (оплачивается дополнительно). Вечером возвращение в Кейптаун.</w:t>
            </w:r>
          </w:p>
          <w:p>
            <w:pPr>
              <w:spacing w:after="100"/>
            </w:pPr>
            <w:r>
              <w:rPr/>
              <w:t xml:space="preserve">Spier Wine Farm – винное поместье с трехсотлетней историей. Приятным дополнением к дегустации может стать прогулка на сигвеях по виноградникам – это прекрасная возможность насладиться прекрасными пейзажами и непередаваемой местной атмосферой.</w:t>
            </w:r>
          </w:p>
          <w:p>
            <w:pPr>
              <w:spacing w:after="100"/>
            </w:pPr>
            <w:r>
              <w:rPr/>
              <w:t xml:space="preserve">https://www.spier.co.za/</w:t>
            </w:r>
          </w:p>
          <w:p>
            <w:pPr>
              <w:spacing w:after="100"/>
            </w:pPr>
            <w:r>
              <w:rPr/>
              <w:t xml:space="preserve">Hazendal Wine Estate - единственное винное поместье с русской историей, где помимо дегустации лучших сортов местных вин Вас ждет Russian Hi Tea.</w:t>
            </w:r>
          </w:p>
          <w:p>
            <w:pPr>
              <w:spacing w:after="100"/>
            </w:pPr>
            <w:r>
              <w:rPr/>
              <w:t xml:space="preserve">https://www.hazendal.co.za/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Westin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Йоханнесбург. Размещение в отеле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 сопровождении русскоговорящего гида.</w:t>
            </w:r>
          </w:p>
          <w:p>
            <w:pPr>
              <w:spacing w:after="100"/>
            </w:pPr>
            <w:r>
              <w:rPr/>
              <w:t xml:space="preserve">Перелет в Йоханнесбург 11.40 – 13.50 (FA306).</w:t>
            </w:r>
          </w:p>
          <w:p>
            <w:pPr>
              <w:spacing w:after="100"/>
            </w:pPr>
            <w:r>
              <w:rPr/>
              <w:t xml:space="preserve">Встреча англоговорящим водителем. Трансфер в Сан Сити. Размещение в отеле.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Sun City Cascades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заповеднике Пиланесберг.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заповеднике Пиланесберг на открытом джипе в составе англоговорящей группы.</w:t>
            </w:r>
          </w:p>
          <w:p>
            <w:pPr>
              <w:spacing w:after="100"/>
            </w:pPr>
            <w:r>
              <w:rPr/>
              <w:t xml:space="preserve">Именно здесь велика вероятность увидеть всю Большую африканскую пятерку в полном составе (лев, носорог, слон, буйвол, леопард).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Sun City Cascades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Свободный день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и дополнительных активностей в Сан Сити.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Sun City Cascades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и дополнительных активностей в Сан Сити.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Sun City Cascades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Перелет в Йоханнесбург.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с русскоговорящим  гидом в аэропорт Йоханнесбурга для сдачи ПЦР теста.</w:t>
            </w:r>
          </w:p>
          <w:p>
            <w:pPr>
              <w:spacing w:after="100"/>
            </w:pPr>
            <w:r>
              <w:rPr/>
              <w:t xml:space="preserve">!!! ПЦР тест на ковид оплачивается на месте.</w:t>
            </w:r>
          </w:p>
          <w:p>
            <w:pPr>
              <w:spacing w:after="100"/>
            </w:pPr>
            <w:r>
              <w:rPr/>
              <w:t xml:space="preserve">Трансфер и размещение в отеле, расположенном в Сэндтоне.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Maslow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 с русскоговорящим гидом для вылета в 13.40 (QR 1364).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Южной Африке 2»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От 2 до 4 человек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От 5 до 7 человек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4 224 $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От 8 до 10 человек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От 11 до 14 человек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A6E97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2026-06-19T03:41:53+03:00</dcterms:created>
  <dcterms:modified xsi:type="dcterms:W3CDTF">2026-06-19T03:41:53+03:00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