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Кейптауне + Дорога Садов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30.12.2022 - 07.01.2023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Одсхорн - Найсна 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3360 $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Встреча в аэропорту. 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Town Hollow Boutique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Town Hollow Boutique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без гида и машины.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Town Hollow Boutique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на Мыс Доброй Надежды + пляж пингвинов,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пляж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Town Hollow Boutique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Экскурсия в Винные Долины.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в Винные Долины.</w:t>
            </w:r>
          </w:p>
          <w:p>
            <w:pPr>
              <w:spacing w:after="100"/>
            </w:pPr>
            <w:r>
              <w:rPr/>
              <w:t xml:space="preserve">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виноградников, и продегустируете лучшие сорта южноафриканских вин.</w:t>
            </w:r>
          </w:p>
          <w:p>
            <w:pPr>
              <w:spacing w:after="100"/>
            </w:pPr>
            <w:r>
              <w:rPr/>
              <w:t xml:space="preserve">Включены дегустации вин в поместьях:</w:t>
            </w:r>
          </w:p>
          <w:p>
            <w:pPr>
              <w:spacing w:after="100"/>
            </w:pPr>
            <w:r>
              <w:rPr/>
              <w:t xml:space="preserve">1) Delaire Graff Estate – вина Delaire Graff входят в число самых престижных в южном полушарии. Уникальный терруар и длительный период созревания винограда позволяет получать классические красные вина с насыщенным элегантным вкусом. Линейка вин хозяйства дополнена свежими, яркими белыми, неотразимыми розовыми, элегантными игристыми винами. У поместья статус First Growth в Южной Африке – это награда за создание самых желанных вин страны.</w:t>
            </w:r>
          </w:p>
          <w:p>
            <w:pPr>
              <w:spacing w:after="100"/>
            </w:pPr>
            <w:r>
              <w:rPr/>
              <w:t xml:space="preserve">https://www.delaire.co.za/</w:t>
            </w:r>
          </w:p>
          <w:p>
            <w:pPr>
              <w:spacing w:after="100"/>
            </w:pPr>
            <w:r>
              <w:rPr/>
              <w:t xml:space="preserve">2) Antonij Rupert Wyne Estate – здесь представлена уникальная коллекция вин Энтони Руперта. Вы сможете продегустировать лучшие вина, предлагаемые поместьем и приобрести полюбившиеся. В завершение Вас ждет посещение музея ретро-автомобилей из персональной коллекции Энтони Руперта, которая признана крупнейшей и интереснейшей в мире.</w:t>
            </w:r>
          </w:p>
          <w:p>
            <w:pPr>
              <w:spacing w:after="100"/>
            </w:pPr>
            <w:r>
              <w:rPr/>
              <w:t xml:space="preserve">https://www.rupertwines.com/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Town Hollow Boutique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Отправление в путешествие по «Дороге Садов». Экскурсия на страусиную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гидом:</w:t>
            </w:r>
          </w:p>
          <w:p>
            <w:pPr>
              <w:spacing w:after="100"/>
            </w:pPr>
            <w:r>
              <w:rPr/>
              <w:t xml:space="preserve">Отправление в путешествие по «Дороге Садов».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Переезд в Одсхорн - маленький городок, утопающий в садах, наполненных пением птиц.</w:t>
            </w:r>
          </w:p>
          <w:p>
            <w:pPr>
              <w:spacing w:after="100"/>
            </w:pPr>
            <w:r>
              <w:rPr/>
              <w:t xml:space="preserve">Экскурсия на страусиную ферму.</w:t>
            </w:r>
          </w:p>
          <w:p>
            <w:pPr>
              <w:spacing w:after="100"/>
            </w:pPr>
            <w:r>
              <w:rPr/>
              <w:t xml:space="preserve">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Важно! Экскурсия на страусиной ферме проводится местным гидом.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 Plume Boutique Hotel, Luxury Junior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в знаменитые пещеры Канго. Переезд в Найсну. Круиз на яхте по заливу.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гидом:</w:t>
            </w:r>
          </w:p>
          <w:p>
            <w:pPr>
              <w:spacing w:after="100"/>
            </w:pPr>
            <w:r>
              <w:rPr/>
              <w:t xml:space="preserve">Экскурсия в знаменитые пещеры Канго.</w:t>
            </w:r>
          </w:p>
          <w:p>
            <w:pPr>
              <w:spacing w:after="100"/>
            </w:pPr>
            <w:r>
              <w:rPr/>
              <w:t xml:space="preserve">Огромные сталактито-сталагмитовые образования в сочетании со световыми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Важно! Экскурсия в пещеры проводится местным гидом.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</w:t>
            </w:r>
          </w:p>
          <w:p>
            <w:pPr>
              <w:spacing w:after="100"/>
            </w:pPr>
            <w:r>
              <w:rPr/>
              <w:t xml:space="preserve">Городок Найсна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  <w:p>
            <w:pPr>
              <w:spacing w:after="100"/>
            </w:pPr>
            <w:r>
              <w:rPr/>
              <w:t xml:space="preserve">Круиз на яхте по заливу.</w:t>
            </w:r>
          </w:p>
          <w:p>
            <w:pPr>
              <w:spacing w:after="100"/>
            </w:pPr>
            <w:r>
              <w:rPr/>
              <w:t xml:space="preserve">Во время круиза Вам будут предложены устрицы и шампанское.</w:t>
            </w:r>
          </w:p>
          <w:p>
            <w:pPr>
              <w:spacing w:after="100"/>
            </w:pPr>
            <w:r>
              <w:rPr/>
              <w:t xml:space="preserve">Важно! Круиз с другими туристами на борту.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Rex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Свободный день в Найсне.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в Найсне.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Rex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 Кейптауна.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гидом:</w:t>
            </w:r>
          </w:p>
          <w:p>
            <w:pPr>
              <w:spacing w:after="100"/>
            </w:pPr>
            <w:r>
              <w:rPr/>
              <w:t xml:space="preserve">Возвращение в Кейптаун.</w:t>
            </w:r>
          </w:p>
          <w:p>
            <w:pPr>
              <w:spacing w:after="100"/>
            </w:pPr>
            <w:r>
              <w:rPr/>
              <w:t xml:space="preserve">Трансфер в аэропорт для вылета (вечером).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Кейптауне + Дорога Садов»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3 780 $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3 360 $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4E1A8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2026-06-19T03:26:41+03:00</dcterms:created>
  <dcterms:modified xsi:type="dcterms:W3CDTF">2026-06-19T03:26:41+03:00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